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E0D" w:rsidRDefault="001D65AD" w:rsidP="001D65AD">
      <w:pPr>
        <w:pStyle w:val="Pagedecouvertur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BF01D1F6-98F0-4844-80D8-410AC2ACAB2C" style="width:450pt;height:366pt">
            <v:imagedata r:id="rId7" o:title=""/>
          </v:shape>
        </w:pict>
      </w:r>
    </w:p>
    <w:p w:rsidR="003933AA" w:rsidRPr="00922C91" w:rsidRDefault="003933AA">
      <w:pPr>
        <w:sectPr w:rsidR="003933AA" w:rsidRPr="00922C91" w:rsidSect="001D65AD">
          <w:footerReference w:type="default" r:id="rId8"/>
          <w:pgSz w:w="11907" w:h="16839"/>
          <w:pgMar w:top="1134" w:right="1417" w:bottom="1134" w:left="1417" w:header="709" w:footer="709" w:gutter="0"/>
          <w:pgNumType w:start="0"/>
          <w:cols w:space="720"/>
          <w:docGrid w:linePitch="360"/>
        </w:sectPr>
      </w:pPr>
    </w:p>
    <w:p w:rsidR="003933AA" w:rsidRPr="00922C91" w:rsidRDefault="001D65AD" w:rsidP="001D65AD">
      <w:pPr>
        <w:pStyle w:val="Typedudocument"/>
      </w:pPr>
      <w:r w:rsidRPr="001D65AD">
        <w:t>COMMISSION IMPLEMENTING REGULATION (EU) …/...</w:t>
      </w:r>
    </w:p>
    <w:p w:rsidR="003933AA" w:rsidRPr="00922C91" w:rsidRDefault="001D65AD" w:rsidP="001D65AD">
      <w:pPr>
        <w:pStyle w:val="Datedadoption"/>
      </w:pPr>
      <w:r w:rsidRPr="001D65AD">
        <w:t xml:space="preserve">of </w:t>
      </w:r>
      <w:r w:rsidRPr="001D65AD">
        <w:rPr>
          <w:rStyle w:val="Marker2"/>
        </w:rPr>
        <w:t>XXX</w:t>
      </w:r>
    </w:p>
    <w:p w:rsidR="003933AA" w:rsidRPr="00922C91" w:rsidRDefault="001D65AD" w:rsidP="001D65AD">
      <w:pPr>
        <w:pStyle w:val="Titreobjet"/>
      </w:pPr>
      <w:r w:rsidRPr="001D65AD">
        <w:t>on amending Implementing Regulation (EU) 2016/2070 as regards benchmark portfolios, reporting templates, and reporting instructions to be applied in the Union for the reporting referred to in Article 78(2) of Directive 2013/36/EU of the European Parliament and of the Council</w:t>
      </w:r>
    </w:p>
    <w:p w:rsidR="003933AA" w:rsidRPr="00922C91" w:rsidRDefault="003933AA" w:rsidP="004E1EF9">
      <w:pPr>
        <w:pStyle w:val="Institutionquiagit"/>
      </w:pPr>
      <w:r w:rsidRPr="00922C91">
        <w:t>THE EUROPEAN COMMISSION,</w:t>
      </w:r>
    </w:p>
    <w:p w:rsidR="003933AA" w:rsidRPr="00922C91" w:rsidRDefault="003933AA" w:rsidP="004E1EF9">
      <w:r w:rsidRPr="00922C91">
        <w:rPr>
          <w:color w:val="000000"/>
        </w:rPr>
        <w:t>Having regard to the Treaty on the Functioning of the European Union</w:t>
      </w:r>
      <w:r w:rsidRPr="00922C91">
        <w:t>,</w:t>
      </w:r>
    </w:p>
    <w:p w:rsidR="003933AA" w:rsidRPr="00922C91" w:rsidRDefault="003933AA" w:rsidP="003933AA">
      <w:r w:rsidRPr="00922C91">
        <w:t xml:space="preserve">Having regard to </w:t>
      </w:r>
      <w:r w:rsidRPr="006E4B28">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r w:rsidRPr="001D65AD">
        <w:rPr>
          <w:rStyle w:val="FootnoteReference"/>
        </w:rPr>
        <w:footnoteReference w:id="1"/>
      </w:r>
      <w:r w:rsidRPr="002C20CD">
        <w:t>,</w:t>
      </w:r>
      <w:r w:rsidRPr="006E4B28">
        <w:t xml:space="preserve"> and in particular the third subparagraph of Article 78(8) thereof,</w:t>
      </w:r>
    </w:p>
    <w:p w:rsidR="003933AA" w:rsidRPr="00922C91" w:rsidRDefault="003933AA" w:rsidP="004E1EF9">
      <w:r w:rsidRPr="00922C91">
        <w:t>Whereas:</w:t>
      </w:r>
    </w:p>
    <w:p w:rsidR="003933AA" w:rsidRPr="006E4B28" w:rsidRDefault="003933AA" w:rsidP="003933AA">
      <w:pPr>
        <w:pStyle w:val="Considrant"/>
        <w:numPr>
          <w:ilvl w:val="0"/>
          <w:numId w:val="33"/>
        </w:numPr>
      </w:pPr>
      <w:r w:rsidRPr="006E4B28">
        <w:t>Commission Implementing Regulation (EU) 2016/2070</w:t>
      </w:r>
      <w:r w:rsidRPr="000364F2">
        <w:rPr>
          <w:rStyle w:val="FootnoteReference"/>
        </w:rPr>
        <w:footnoteReference w:id="2"/>
      </w:r>
      <w:r w:rsidRPr="002C20CD">
        <w:t xml:space="preserve"> </w:t>
      </w:r>
      <w:r w:rsidRPr="006E4B28">
        <w:t>specifies the reporting requirements for institutions to the European Banking Authority (EBA) and to competent authorities in order to enable the EBA and the competent authorities to carry out their assessments of institutions’ internal approaches in accordance with Article 78 of Directive 2013/36/EU (the benchmarking exercise). Given that institutions have to submit the results of their calculations at least annually and that the focus of the competent authorities’ assessments and of the EBA’s reports have changed, exposures or positions that are included in the benchmark portfolios, and therefore also reporting requirements, need to be adapted to such changes. It is therefore appropriate to amend Annexes I, II, III, IV, V, VI and VII to Implementing Regulation (EU) 2016/2070.</w:t>
      </w:r>
    </w:p>
    <w:p w:rsidR="003933AA" w:rsidRDefault="003933AA" w:rsidP="003933AA">
      <w:pPr>
        <w:pStyle w:val="Considrant"/>
      </w:pPr>
      <w:r w:rsidRPr="006E4B28">
        <w:t>This Regulation is based on the draft implementing technical standards submitted by the EBA to the Commission.</w:t>
      </w:r>
    </w:p>
    <w:p w:rsidR="003933AA" w:rsidRPr="006E4B28" w:rsidRDefault="003933AA" w:rsidP="003933AA">
      <w:pPr>
        <w:pStyle w:val="Considrant"/>
      </w:pPr>
      <w:r w:rsidRPr="006E4B28">
        <w:t xml:space="preserve">The EBA has conducted open public consultations on the draft implementing technical standards on which this Regulation is based, analysed the potential related costs and benefits and requested the opinion of the Banking Stakeholder Group established in accordance with Article 37 of Regulation (EU) No 1093/2010 </w:t>
      </w:r>
      <w:r w:rsidRPr="006E4B28">
        <w:rPr>
          <w:rStyle w:val="Strong"/>
          <w:color w:val="444444"/>
        </w:rPr>
        <w:t>of the European Parliament and of the Council</w:t>
      </w:r>
      <w:r w:rsidRPr="000364F2">
        <w:rPr>
          <w:rStyle w:val="FootnoteReference"/>
          <w:rFonts w:eastAsiaTheme="majorEastAsia"/>
        </w:rPr>
        <w:footnoteReference w:id="3"/>
      </w:r>
      <w:r w:rsidRPr="006E4B28">
        <w:t>.</w:t>
      </w:r>
    </w:p>
    <w:p w:rsidR="003933AA" w:rsidRPr="006E4B28" w:rsidRDefault="003933AA" w:rsidP="003933AA">
      <w:pPr>
        <w:pStyle w:val="Considrant"/>
      </w:pPr>
      <w:r w:rsidRPr="006E4B28">
        <w:t>Implementing Regulation (EU) 2016/2070 should therefore be amended accordingly,</w:t>
      </w:r>
    </w:p>
    <w:p w:rsidR="003933AA" w:rsidRPr="00922C91" w:rsidRDefault="003933AA" w:rsidP="004E1EF9">
      <w:pPr>
        <w:pStyle w:val="Formuledadoption"/>
      </w:pPr>
      <w:r w:rsidRPr="00922C91">
        <w:t>HAS ADOPTED THIS REGULATION:</w:t>
      </w:r>
    </w:p>
    <w:p w:rsidR="003933AA" w:rsidRPr="00922C91" w:rsidRDefault="003933AA" w:rsidP="004E1EF9">
      <w:pPr>
        <w:pStyle w:val="Titrearticle"/>
      </w:pPr>
      <w:r w:rsidRPr="00922C91">
        <w:t>Article 1</w:t>
      </w:r>
    </w:p>
    <w:p w:rsidR="003933AA" w:rsidRPr="006E4B28" w:rsidRDefault="003933AA" w:rsidP="003933AA">
      <w:pPr>
        <w:keepNext/>
        <w:keepLines/>
        <w:spacing w:before="360"/>
        <w:rPr>
          <w:rFonts w:eastAsia="Times New Roman"/>
        </w:rPr>
      </w:pPr>
      <w:r w:rsidRPr="006E4B28">
        <w:rPr>
          <w:rFonts w:eastAsia="Times New Roman"/>
        </w:rPr>
        <w:t>Implementing Regulation (EU) 2016/2070 is amended as follows:</w:t>
      </w:r>
    </w:p>
    <w:p w:rsidR="003933AA" w:rsidRPr="006E4B28" w:rsidRDefault="003933AA" w:rsidP="003933AA">
      <w:pPr>
        <w:pStyle w:val="Point0number"/>
        <w:numPr>
          <w:ilvl w:val="0"/>
          <w:numId w:val="34"/>
        </w:numPr>
        <w:rPr>
          <w:lang w:eastAsia="en-GB" w:bidi="en-GB"/>
        </w:rPr>
      </w:pPr>
      <w:r w:rsidRPr="006E4B28">
        <w:rPr>
          <w:lang w:eastAsia="en-GB" w:bidi="en-GB"/>
        </w:rPr>
        <w:t>Annex I is replaced by the text set out in Annex I to this</w:t>
      </w:r>
      <w:r w:rsidRPr="006E4B28">
        <w:rPr>
          <w:spacing w:val="-9"/>
          <w:lang w:eastAsia="en-GB" w:bidi="en-GB"/>
        </w:rPr>
        <w:t xml:space="preserve"> </w:t>
      </w:r>
      <w:r w:rsidRPr="006E4B28">
        <w:rPr>
          <w:lang w:eastAsia="en-GB" w:bidi="en-GB"/>
        </w:rPr>
        <w:t>Regulation.</w:t>
      </w:r>
    </w:p>
    <w:p w:rsidR="003933AA" w:rsidRPr="006E4B28" w:rsidRDefault="003933AA" w:rsidP="003933AA">
      <w:pPr>
        <w:pStyle w:val="Point0number"/>
        <w:rPr>
          <w:lang w:eastAsia="en-GB" w:bidi="en-GB"/>
        </w:rPr>
      </w:pPr>
      <w:r w:rsidRPr="006E4B28">
        <w:rPr>
          <w:lang w:eastAsia="en-GB" w:bidi="en-GB"/>
        </w:rPr>
        <w:t>Annex II is replaced by the text set out in Annex II to this</w:t>
      </w:r>
      <w:r w:rsidRPr="006E4B28">
        <w:rPr>
          <w:spacing w:val="-12"/>
          <w:lang w:eastAsia="en-GB" w:bidi="en-GB"/>
        </w:rPr>
        <w:t xml:space="preserve"> </w:t>
      </w:r>
      <w:r w:rsidRPr="006E4B28">
        <w:rPr>
          <w:lang w:eastAsia="en-GB" w:bidi="en-GB"/>
        </w:rPr>
        <w:t>Regulation.</w:t>
      </w:r>
    </w:p>
    <w:p w:rsidR="003933AA" w:rsidRPr="006E4B28" w:rsidRDefault="003933AA" w:rsidP="003933AA">
      <w:pPr>
        <w:pStyle w:val="Point0number"/>
        <w:rPr>
          <w:lang w:eastAsia="en-GB" w:bidi="en-GB"/>
        </w:rPr>
      </w:pPr>
      <w:r w:rsidRPr="006E4B28">
        <w:rPr>
          <w:lang w:eastAsia="en-GB" w:bidi="en-GB"/>
        </w:rPr>
        <w:t>Annex III is replaced by the text set out in Annex III to this</w:t>
      </w:r>
      <w:r w:rsidRPr="006E4B28">
        <w:rPr>
          <w:spacing w:val="-21"/>
          <w:lang w:eastAsia="en-GB" w:bidi="en-GB"/>
        </w:rPr>
        <w:t xml:space="preserve"> </w:t>
      </w:r>
      <w:r w:rsidRPr="006E4B28">
        <w:rPr>
          <w:lang w:eastAsia="en-GB" w:bidi="en-GB"/>
        </w:rPr>
        <w:t>Regulation.</w:t>
      </w:r>
    </w:p>
    <w:p w:rsidR="003933AA" w:rsidRPr="006E4B28" w:rsidRDefault="003933AA" w:rsidP="003933AA">
      <w:pPr>
        <w:pStyle w:val="Point0number"/>
        <w:rPr>
          <w:lang w:eastAsia="en-GB" w:bidi="en-GB"/>
        </w:rPr>
      </w:pPr>
      <w:r w:rsidRPr="006E4B28">
        <w:rPr>
          <w:lang w:eastAsia="en-GB" w:bidi="en-GB"/>
        </w:rPr>
        <w:t>Annex IV is replaced by the text set out in Annex IV to this</w:t>
      </w:r>
      <w:r w:rsidRPr="006E4B28">
        <w:rPr>
          <w:spacing w:val="-15"/>
          <w:lang w:eastAsia="en-GB" w:bidi="en-GB"/>
        </w:rPr>
        <w:t xml:space="preserve"> </w:t>
      </w:r>
      <w:r w:rsidRPr="006E4B28">
        <w:rPr>
          <w:lang w:eastAsia="en-GB" w:bidi="en-GB"/>
        </w:rPr>
        <w:t>Regulation.</w:t>
      </w:r>
    </w:p>
    <w:p w:rsidR="003933AA" w:rsidRPr="006E4B28" w:rsidRDefault="003933AA" w:rsidP="003933AA">
      <w:pPr>
        <w:pStyle w:val="Point0number"/>
        <w:rPr>
          <w:lang w:eastAsia="en-GB" w:bidi="en-GB"/>
        </w:rPr>
      </w:pPr>
      <w:r w:rsidRPr="006E4B28">
        <w:rPr>
          <w:lang w:eastAsia="en-GB" w:bidi="en-GB"/>
        </w:rPr>
        <w:t>Annex V is replaced by the text set out in Annex V to this</w:t>
      </w:r>
      <w:r w:rsidRPr="006E4B28">
        <w:rPr>
          <w:spacing w:val="-10"/>
          <w:lang w:eastAsia="en-GB" w:bidi="en-GB"/>
        </w:rPr>
        <w:t xml:space="preserve"> </w:t>
      </w:r>
      <w:r w:rsidRPr="006E4B28">
        <w:rPr>
          <w:lang w:eastAsia="en-GB" w:bidi="en-GB"/>
        </w:rPr>
        <w:t>Regulation.</w:t>
      </w:r>
    </w:p>
    <w:p w:rsidR="003933AA" w:rsidRPr="006E4B28" w:rsidRDefault="003933AA" w:rsidP="003933AA">
      <w:pPr>
        <w:pStyle w:val="Point0number"/>
        <w:rPr>
          <w:lang w:eastAsia="en-GB" w:bidi="en-GB"/>
        </w:rPr>
      </w:pPr>
      <w:r w:rsidRPr="006E4B28">
        <w:rPr>
          <w:lang w:eastAsia="en-GB" w:bidi="en-GB"/>
        </w:rPr>
        <w:t>Annex VI is replaced by the text set out in Annex VI to this</w:t>
      </w:r>
      <w:r w:rsidRPr="006E4B28">
        <w:rPr>
          <w:spacing w:val="-8"/>
          <w:lang w:eastAsia="en-GB" w:bidi="en-GB"/>
        </w:rPr>
        <w:t xml:space="preserve"> </w:t>
      </w:r>
      <w:r w:rsidRPr="006E4B28">
        <w:rPr>
          <w:lang w:eastAsia="en-GB" w:bidi="en-GB"/>
        </w:rPr>
        <w:t>Regulation.</w:t>
      </w:r>
    </w:p>
    <w:p w:rsidR="003933AA" w:rsidRPr="006E4B28" w:rsidRDefault="003933AA" w:rsidP="003933AA">
      <w:pPr>
        <w:pStyle w:val="Point0number"/>
        <w:rPr>
          <w:lang w:eastAsia="en-GB" w:bidi="en-GB"/>
        </w:rPr>
      </w:pPr>
      <w:r w:rsidRPr="006E4B28">
        <w:rPr>
          <w:lang w:eastAsia="en-GB" w:bidi="en-GB"/>
        </w:rPr>
        <w:t>Annex VII is replaced by the text set out in Annex VII to this Regulation.</w:t>
      </w:r>
    </w:p>
    <w:p w:rsidR="003933AA" w:rsidRPr="00922C91" w:rsidRDefault="003933AA" w:rsidP="004E1EF9"/>
    <w:p w:rsidR="003933AA" w:rsidRPr="00922C91" w:rsidRDefault="003933AA" w:rsidP="004E1EF9">
      <w:pPr>
        <w:pStyle w:val="Titrearticle"/>
      </w:pPr>
      <w:r>
        <w:t>Article 2</w:t>
      </w:r>
    </w:p>
    <w:p w:rsidR="003933AA" w:rsidRPr="00922C91" w:rsidRDefault="003933AA" w:rsidP="004E1EF9">
      <w:r w:rsidRPr="00922C91">
        <w:t>This Regulati</w:t>
      </w:r>
      <w:r>
        <w:t>on shall enter into force on the twentieth</w:t>
      </w:r>
      <w:r w:rsidRPr="00922C91">
        <w:t xml:space="preserve"> day following that of its publication in the </w:t>
      </w:r>
      <w:r w:rsidRPr="00922C91">
        <w:rPr>
          <w:i/>
        </w:rPr>
        <w:t>Official Journal of the European Union</w:t>
      </w:r>
      <w:r w:rsidRPr="00922C91">
        <w:t>.</w:t>
      </w:r>
    </w:p>
    <w:p w:rsidR="003933AA" w:rsidRDefault="003933AA" w:rsidP="003933AA">
      <w:pPr>
        <w:pStyle w:val="Applicationdirecte"/>
      </w:pPr>
      <w:r w:rsidRPr="00922C91">
        <w:t>This Regulation shall be binding in its entirety and directly appl</w:t>
      </w:r>
      <w:r>
        <w:t>icable in all Member States.</w:t>
      </w:r>
    </w:p>
    <w:p w:rsidR="003933AA" w:rsidRDefault="001D65AD" w:rsidP="001D65AD">
      <w:pPr>
        <w:pStyle w:val="Fait"/>
      </w:pPr>
      <w:r w:rsidRPr="001D65AD">
        <w:t>Done at Brussels,</w:t>
      </w:r>
    </w:p>
    <w:p w:rsidR="003933AA" w:rsidRDefault="003933AA" w:rsidP="003933AA">
      <w:pPr>
        <w:pStyle w:val="Institutionquisigne"/>
      </w:pPr>
      <w:r w:rsidRPr="003933AA">
        <w:tab/>
        <w:t>For the Commission</w:t>
      </w:r>
    </w:p>
    <w:p w:rsidR="003933AA" w:rsidRPr="003933AA" w:rsidRDefault="003933AA" w:rsidP="003933AA">
      <w:pPr>
        <w:pStyle w:val="Personnequisigne"/>
      </w:pPr>
      <w:r w:rsidRPr="003933AA">
        <w:tab/>
        <w:t>The President</w:t>
      </w:r>
      <w:r w:rsidRPr="003933AA">
        <w:br/>
      </w:r>
      <w:r w:rsidRPr="003933AA">
        <w:tab/>
      </w:r>
      <w:r w:rsidRPr="003933AA">
        <w:br/>
      </w:r>
      <w:r w:rsidRPr="003933AA">
        <w:tab/>
      </w:r>
      <w:r w:rsidRPr="003933AA">
        <w:br/>
      </w:r>
      <w:r w:rsidRPr="003933AA">
        <w:br/>
      </w:r>
      <w:r w:rsidRPr="003933AA">
        <w:rPr>
          <w:rStyle w:val="Marker1"/>
        </w:rPr>
        <w:tab/>
      </w:r>
      <w:r w:rsidRPr="003933AA">
        <w:br/>
      </w:r>
      <w:r w:rsidRPr="003933AA">
        <w:tab/>
        <w:t>On behalf of the President</w:t>
      </w:r>
      <w:r w:rsidRPr="003933AA">
        <w:br/>
      </w:r>
      <w:r w:rsidRPr="003933AA">
        <w:tab/>
      </w:r>
      <w:r w:rsidRPr="003933AA">
        <w:br/>
      </w:r>
      <w:r w:rsidRPr="003933AA">
        <w:tab/>
      </w:r>
      <w:r w:rsidRPr="003933AA">
        <w:rPr>
          <w:rStyle w:val="Marker"/>
        </w:rPr>
        <w:t>[Position]</w:t>
      </w:r>
    </w:p>
    <w:sectPr w:rsidR="003933AA" w:rsidRPr="003933AA" w:rsidSect="001D65AD">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286" w:rsidRDefault="00AE3286" w:rsidP="003933AA">
      <w:pPr>
        <w:spacing w:before="0" w:after="0"/>
      </w:pPr>
      <w:r>
        <w:separator/>
      </w:r>
    </w:p>
  </w:endnote>
  <w:endnote w:type="continuationSeparator" w:id="0">
    <w:p w:rsidR="00AE3286" w:rsidRDefault="00AE3286" w:rsidP="003933A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5AD" w:rsidRPr="001D65AD" w:rsidRDefault="001D65AD" w:rsidP="001D65AD">
    <w:pPr>
      <w:pStyle w:val="Footer"/>
      <w:rPr>
        <w:rFonts w:ascii="Arial" w:hAnsi="Arial" w:cs="Arial"/>
        <w:b/>
        <w:sz w:val="48"/>
      </w:rPr>
    </w:pPr>
    <w:r w:rsidRPr="001D65AD">
      <w:rPr>
        <w:rFonts w:ascii="Arial" w:hAnsi="Arial" w:cs="Arial"/>
        <w:b/>
        <w:sz w:val="48"/>
      </w:rPr>
      <w:t>EN</w:t>
    </w:r>
    <w:r w:rsidRPr="001D65AD">
      <w:rPr>
        <w:rFonts w:ascii="Arial" w:hAnsi="Arial" w:cs="Arial"/>
        <w:b/>
        <w:sz w:val="48"/>
      </w:rPr>
      <w:tab/>
    </w:r>
    <w:r w:rsidRPr="001D65AD">
      <w:rPr>
        <w:rFonts w:ascii="Arial" w:hAnsi="Arial" w:cs="Arial"/>
        <w:b/>
        <w:sz w:val="48"/>
      </w:rPr>
      <w:tab/>
    </w:r>
    <w:r w:rsidRPr="001D65AD">
      <w:tab/>
    </w:r>
    <w:r w:rsidRPr="001D65AD">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5AD" w:rsidRPr="001D65AD" w:rsidRDefault="001D65AD" w:rsidP="001D65AD">
    <w:pPr>
      <w:pStyle w:val="Footer"/>
      <w:rPr>
        <w:rFonts w:ascii="Arial" w:hAnsi="Arial" w:cs="Arial"/>
        <w:b/>
        <w:sz w:val="48"/>
      </w:rPr>
    </w:pPr>
    <w:r w:rsidRPr="001D65AD">
      <w:rPr>
        <w:rFonts w:ascii="Arial" w:hAnsi="Arial" w:cs="Arial"/>
        <w:b/>
        <w:sz w:val="48"/>
      </w:rPr>
      <w:t>EN</w:t>
    </w:r>
    <w:r w:rsidRPr="001D65AD">
      <w:rPr>
        <w:rFonts w:ascii="Arial" w:hAnsi="Arial" w:cs="Arial"/>
        <w:b/>
        <w:sz w:val="48"/>
      </w:rPr>
      <w:tab/>
    </w:r>
    <w:r>
      <w:fldChar w:fldCharType="begin"/>
    </w:r>
    <w:r>
      <w:instrText xml:space="preserve"> PAGE  \* MERGEFORMAT </w:instrText>
    </w:r>
    <w:r>
      <w:fldChar w:fldCharType="separate"/>
    </w:r>
    <w:r w:rsidR="005631B2">
      <w:rPr>
        <w:noProof/>
      </w:rPr>
      <w:t>1</w:t>
    </w:r>
    <w:r>
      <w:fldChar w:fldCharType="end"/>
    </w:r>
    <w:r>
      <w:tab/>
    </w:r>
    <w:r w:rsidRPr="001D65AD">
      <w:tab/>
    </w:r>
    <w:r w:rsidRPr="001D65AD">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5AD" w:rsidRPr="001D65AD" w:rsidRDefault="001D65AD" w:rsidP="001D6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286" w:rsidRDefault="00AE3286" w:rsidP="003933AA">
      <w:pPr>
        <w:spacing w:before="0" w:after="0"/>
      </w:pPr>
      <w:r>
        <w:separator/>
      </w:r>
    </w:p>
  </w:footnote>
  <w:footnote w:type="continuationSeparator" w:id="0">
    <w:p w:rsidR="00AE3286" w:rsidRDefault="00AE3286" w:rsidP="003933AA">
      <w:pPr>
        <w:spacing w:before="0" w:after="0"/>
      </w:pPr>
      <w:r>
        <w:continuationSeparator/>
      </w:r>
    </w:p>
  </w:footnote>
  <w:footnote w:id="1">
    <w:p w:rsidR="003933AA" w:rsidRPr="000364F2" w:rsidRDefault="003933AA" w:rsidP="003933AA">
      <w:pPr>
        <w:pStyle w:val="FootnoteText"/>
      </w:pPr>
      <w:r w:rsidRPr="000364F2">
        <w:rPr>
          <w:rStyle w:val="FootnoteReference"/>
        </w:rPr>
        <w:footnoteRef/>
      </w:r>
      <w:r w:rsidRPr="000364F2">
        <w:tab/>
        <w:t>OJ L 176, 27.6.2013, p. 338.</w:t>
      </w:r>
    </w:p>
  </w:footnote>
  <w:footnote w:id="2">
    <w:p w:rsidR="003933AA" w:rsidRPr="006E4B28" w:rsidRDefault="003933AA" w:rsidP="003933AA">
      <w:pPr>
        <w:pStyle w:val="FootnoteText"/>
      </w:pPr>
      <w:r w:rsidRPr="000364F2">
        <w:rPr>
          <w:rStyle w:val="FootnoteReference"/>
        </w:rPr>
        <w:footnoteRef/>
      </w:r>
      <w:r w:rsidRPr="000364F2">
        <w:tab/>
        <w:t>Commission Implementing Regulation (EU) 2016/2070 of 14 September 2016 laying down implementing technical standards for templates, definitions and IT solutions to be used by institutions when reporting to the European Banking Authority and to competent authorities in accordance with Article 78(2) of Directive 2013/36/EU of the European Parliament and of the Council (OJ L 328, 2.12.2016, p. 1).</w:t>
      </w:r>
    </w:p>
  </w:footnote>
  <w:footnote w:id="3">
    <w:p w:rsidR="003933AA" w:rsidRPr="000364F2" w:rsidRDefault="003933AA" w:rsidP="003933AA">
      <w:pPr>
        <w:pStyle w:val="FootnoteText"/>
      </w:pPr>
      <w:r w:rsidRPr="000364F2">
        <w:rPr>
          <w:rStyle w:val="FootnoteReference"/>
        </w:rPr>
        <w:footnoteRef/>
      </w:r>
      <w:r w:rsidRPr="000364F2">
        <w:tab/>
        <w:t>Regulation (EU) No 1093/2010 of the European Parliament and of the Council of 24 November 2010 establishing a European Supervisory Authority (European Banking Authority), amending Decision No 716/2009/EC and repealing Commission Decision 2009/78/EC (OJ L 331, 15.12.2010, p.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81C6C4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D90AE4E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07362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FA402B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D5C216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F406D3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E05479E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D45A2A4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5A518E1"/>
    <w:multiLevelType w:val="hybridMultilevel"/>
    <w:tmpl w:val="67DA9AC4"/>
    <w:lvl w:ilvl="0" w:tplc="B8787B9A">
      <w:start w:val="1"/>
      <w:numFmt w:val="decimal"/>
      <w:lvlText w:val="(%1)"/>
      <w:lvlJc w:val="left"/>
      <w:pPr>
        <w:ind w:left="810" w:hanging="710"/>
      </w:pPr>
      <w:rPr>
        <w:rFonts w:ascii="Times New Roman" w:eastAsia="Times New Roman" w:hAnsi="Times New Roman" w:cs="Times New Roman" w:hint="default"/>
        <w:spacing w:val="-30"/>
        <w:w w:val="99"/>
        <w:sz w:val="24"/>
        <w:szCs w:val="24"/>
        <w:lang w:val="en-GB" w:eastAsia="en-GB" w:bidi="en-GB"/>
      </w:rPr>
    </w:lvl>
    <w:lvl w:ilvl="1" w:tplc="6186CAF8">
      <w:start w:val="1"/>
      <w:numFmt w:val="decimal"/>
      <w:lvlText w:val="(%2)"/>
      <w:lvlJc w:val="left"/>
      <w:pPr>
        <w:ind w:left="821" w:hanging="360"/>
      </w:pPr>
      <w:rPr>
        <w:rFonts w:ascii="Times New Roman" w:eastAsia="Times New Roman" w:hAnsi="Times New Roman" w:cs="Times New Roman" w:hint="default"/>
        <w:w w:val="99"/>
        <w:sz w:val="24"/>
        <w:szCs w:val="24"/>
        <w:lang w:val="en-GB" w:eastAsia="en-GB" w:bidi="en-GB"/>
      </w:rPr>
    </w:lvl>
    <w:lvl w:ilvl="2" w:tplc="17D0E32E">
      <w:numFmt w:val="bullet"/>
      <w:lvlText w:val="•"/>
      <w:lvlJc w:val="left"/>
      <w:pPr>
        <w:ind w:left="2468" w:hanging="360"/>
      </w:pPr>
      <w:rPr>
        <w:rFonts w:hint="default"/>
        <w:lang w:val="en-GB" w:eastAsia="en-GB" w:bidi="en-GB"/>
      </w:rPr>
    </w:lvl>
    <w:lvl w:ilvl="3" w:tplc="E368C8C6">
      <w:numFmt w:val="bullet"/>
      <w:lvlText w:val="•"/>
      <w:lvlJc w:val="left"/>
      <w:pPr>
        <w:ind w:left="3292" w:hanging="360"/>
      </w:pPr>
      <w:rPr>
        <w:rFonts w:hint="default"/>
        <w:lang w:val="en-GB" w:eastAsia="en-GB" w:bidi="en-GB"/>
      </w:rPr>
    </w:lvl>
    <w:lvl w:ilvl="4" w:tplc="0168549C">
      <w:numFmt w:val="bullet"/>
      <w:lvlText w:val="•"/>
      <w:lvlJc w:val="left"/>
      <w:pPr>
        <w:ind w:left="4116" w:hanging="360"/>
      </w:pPr>
      <w:rPr>
        <w:rFonts w:hint="default"/>
        <w:lang w:val="en-GB" w:eastAsia="en-GB" w:bidi="en-GB"/>
      </w:rPr>
    </w:lvl>
    <w:lvl w:ilvl="5" w:tplc="4E3A84DE">
      <w:numFmt w:val="bullet"/>
      <w:lvlText w:val="•"/>
      <w:lvlJc w:val="left"/>
      <w:pPr>
        <w:ind w:left="4940" w:hanging="360"/>
      </w:pPr>
      <w:rPr>
        <w:rFonts w:hint="default"/>
        <w:lang w:val="en-GB" w:eastAsia="en-GB" w:bidi="en-GB"/>
      </w:rPr>
    </w:lvl>
    <w:lvl w:ilvl="6" w:tplc="9FD409DA">
      <w:numFmt w:val="bullet"/>
      <w:lvlText w:val="•"/>
      <w:lvlJc w:val="left"/>
      <w:pPr>
        <w:ind w:left="5764" w:hanging="360"/>
      </w:pPr>
      <w:rPr>
        <w:rFonts w:hint="default"/>
        <w:lang w:val="en-GB" w:eastAsia="en-GB" w:bidi="en-GB"/>
      </w:rPr>
    </w:lvl>
    <w:lvl w:ilvl="7" w:tplc="747C2358">
      <w:numFmt w:val="bullet"/>
      <w:lvlText w:val="•"/>
      <w:lvlJc w:val="left"/>
      <w:pPr>
        <w:ind w:left="6588" w:hanging="360"/>
      </w:pPr>
      <w:rPr>
        <w:rFonts w:hint="default"/>
        <w:lang w:val="en-GB" w:eastAsia="en-GB" w:bidi="en-GB"/>
      </w:rPr>
    </w:lvl>
    <w:lvl w:ilvl="8" w:tplc="3DDEE6E4">
      <w:numFmt w:val="bullet"/>
      <w:lvlText w:val="•"/>
      <w:lvlJc w:val="left"/>
      <w:pPr>
        <w:ind w:left="7412" w:hanging="360"/>
      </w:pPr>
      <w:rPr>
        <w:rFonts w:hint="default"/>
        <w:lang w:val="en-GB" w:eastAsia="en-GB" w:bidi="en-GB"/>
      </w:rPr>
    </w:lvl>
  </w:abstractNum>
  <w:abstractNum w:abstractNumId="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B2B3A92"/>
    <w:multiLevelType w:val="singleLevel"/>
    <w:tmpl w:val="73D64A0E"/>
    <w:name w:val="Considérant__1"/>
    <w:lvl w:ilvl="0">
      <w:start w:val="1"/>
      <w:numFmt w:val="decimal"/>
      <w:lvlRestart w:val="0"/>
      <w:lvlText w:val="(%1)"/>
      <w:lvlJc w:val="left"/>
      <w:pPr>
        <w:tabs>
          <w:tab w:val="num" w:pos="709"/>
        </w:tabs>
        <w:ind w:left="709" w:hanging="709"/>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0"/>
  </w:num>
  <w:num w:numId="2">
    <w:abstractNumId w:val="14"/>
  </w:num>
  <w:num w:numId="3">
    <w:abstractNumId w:val="22"/>
  </w:num>
  <w:num w:numId="4">
    <w:abstractNumId w:val="13"/>
  </w:num>
  <w:num w:numId="5">
    <w:abstractNumId w:val="15"/>
  </w:num>
  <w:num w:numId="6">
    <w:abstractNumId w:val="10"/>
  </w:num>
  <w:num w:numId="7">
    <w:abstractNumId w:val="21"/>
  </w:num>
  <w:num w:numId="8">
    <w:abstractNumId w:val="9"/>
  </w:num>
  <w:num w:numId="9">
    <w:abstractNumId w:val="16"/>
  </w:num>
  <w:num w:numId="10">
    <w:abstractNumId w:val="18"/>
  </w:num>
  <w:num w:numId="11">
    <w:abstractNumId w:val="19"/>
  </w:num>
  <w:num w:numId="12">
    <w:abstractNumId w:val="12"/>
  </w:num>
  <w:num w:numId="13">
    <w:abstractNumId w:val="17"/>
  </w:num>
  <w:num w:numId="14">
    <w:abstractNumId w:val="23"/>
  </w:num>
  <w:num w:numId="15">
    <w:abstractNumId w:val="23"/>
    <w:lvlOverride w:ilvl="0">
      <w:startOverride w:val="1"/>
    </w:lvlOverride>
  </w:num>
  <w:num w:numId="16">
    <w:abstractNumId w:val="11"/>
  </w:num>
  <w:num w:numId="17">
    <w:abstractNumId w:val="23"/>
    <w:lvlOverride w:ilvl="0">
      <w:startOverride w:val="1"/>
    </w:lvlOverride>
  </w:num>
  <w:num w:numId="18">
    <w:abstractNumId w:val="8"/>
  </w:num>
  <w:num w:numId="19">
    <w:abstractNumId w:val="20"/>
  </w:num>
  <w:num w:numId="20">
    <w:abstractNumId w:val="14"/>
  </w:num>
  <w:num w:numId="21">
    <w:abstractNumId w:val="22"/>
  </w:num>
  <w:num w:numId="22">
    <w:abstractNumId w:val="13"/>
  </w:num>
  <w:num w:numId="23">
    <w:abstractNumId w:val="15"/>
  </w:num>
  <w:num w:numId="24">
    <w:abstractNumId w:val="10"/>
  </w:num>
  <w:num w:numId="25">
    <w:abstractNumId w:val="21"/>
  </w:num>
  <w:num w:numId="26">
    <w:abstractNumId w:val="9"/>
  </w:num>
  <w:num w:numId="27">
    <w:abstractNumId w:val="16"/>
  </w:num>
  <w:num w:numId="28">
    <w:abstractNumId w:val="18"/>
  </w:num>
  <w:num w:numId="29">
    <w:abstractNumId w:val="19"/>
  </w:num>
  <w:num w:numId="30">
    <w:abstractNumId w:val="12"/>
  </w:num>
  <w:num w:numId="31">
    <w:abstractNumId w:val="17"/>
  </w:num>
  <w:num w:numId="32">
    <w:abstractNumId w:val="23"/>
  </w:num>
  <w:num w:numId="33">
    <w:abstractNumId w:val="23"/>
    <w:lvlOverride w:ilvl="0">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5"/>
  </w:num>
  <w:num w:numId="37">
    <w:abstractNumId w:val="4"/>
  </w:num>
  <w:num w:numId="38">
    <w:abstractNumId w:val="3"/>
  </w:num>
  <w:num w:numId="39">
    <w:abstractNumId w:val="6"/>
  </w:num>
  <w:num w:numId="40">
    <w:abstractNumId w:val="2"/>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63"/>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19-07-11 16:32:21"/>
    <w:docVar w:name="DQCHighlighting" w:val="100"/>
    <w:docVar w:name="DQCRepairStyles" w:val=";Footnote Text;Footnote Text;"/>
    <w:docVar w:name="DQCResult_Distribution" w:val="0;1"/>
    <w:docVar w:name="DQCResult_DocumentContent" w:val="1;0"/>
    <w:docVar w:name="DQCResult_DocumentSize" w:val="0;0"/>
    <w:docVar w:name="DQCResult_DocumentVersions" w:val="0;0"/>
    <w:docVar w:name="DQCResult_ExistenceOfMacros" w:val="0;0"/>
    <w:docVar w:name="DQCResult_InvalidFootnotes" w:val="1;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Red"/>
    <w:docVar w:name="DQCVersion" w:val="4"/>
    <w:docVar w:name="DQCWithWarnings" w:val="0"/>
    <w:docVar w:name="LW_COVERPAGE_EXISTS" w:val="True"/>
    <w:docVar w:name="LW_COVERPAGE_GUID" w:val="BF01D1F6-98F0-4844-80D8-410AC2ACAB2C"/>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w:docVar w:name="LW_EMISSION_SUFFIX" w:val="&lt;EMPTY&gt;"/>
    <w:docVar w:name="LW_ID_DOCMODEL" w:val="SJ-004"/>
    <w:docVar w:name="LW_ID_DOCSIGNATURE" w:val="SJ-004"/>
    <w:docVar w:name="LW_ID_DOCSTRUCTURE" w:val="COM/AA"/>
    <w:docVar w:name="LW_ID_DOCTYPE" w:val="SJ-004"/>
    <w:docVar w:name="LW_INTERETEEE.CP" w:val="&lt;UNUSED&gt;"/>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on amending Implementing Regulation (EU) 2016/2070 as regards benchmark portfolios, reporting templates, and reporting instructions to be applied in the Union for the reporting referred to in Article 78(2) of Directive 2013/36/EU of the European Parliament and of the Council"/>
    <w:docVar w:name="LW_TYPE.DOC.CP" w:val="COMMISSION IMPLEMENTING REGULATION (EU) \u8230?/..."/>
  </w:docVars>
  <w:rsids>
    <w:rsidRoot w:val="003933AA"/>
    <w:rsid w:val="00012158"/>
    <w:rsid w:val="001D65AD"/>
    <w:rsid w:val="002C0C3E"/>
    <w:rsid w:val="002E476B"/>
    <w:rsid w:val="00352527"/>
    <w:rsid w:val="003933AA"/>
    <w:rsid w:val="005631B2"/>
    <w:rsid w:val="007D178B"/>
    <w:rsid w:val="00856A5A"/>
    <w:rsid w:val="00877878"/>
    <w:rsid w:val="00886F23"/>
    <w:rsid w:val="00A856B7"/>
    <w:rsid w:val="00AE3286"/>
    <w:rsid w:val="00B41B4C"/>
    <w:rsid w:val="00C36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4C5F9C-D256-4B6C-B3F1-33C0F172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877878"/>
    <w:pPr>
      <w:keepNext/>
      <w:numPr>
        <w:numId w:val="2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2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25"/>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25"/>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933AA"/>
    <w:rPr>
      <w:b/>
      <w:bCs/>
    </w:rPr>
  </w:style>
  <w:style w:type="paragraph" w:styleId="Header">
    <w:name w:val="header"/>
    <w:basedOn w:val="Normal"/>
    <w:link w:val="HeaderChar"/>
    <w:uiPriority w:val="99"/>
    <w:unhideWhenUsed/>
    <w:rsid w:val="001D65AD"/>
    <w:pPr>
      <w:tabs>
        <w:tab w:val="center" w:pos="4535"/>
        <w:tab w:val="right" w:pos="9071"/>
      </w:tabs>
      <w:spacing w:before="0"/>
    </w:pPr>
  </w:style>
  <w:style w:type="character" w:customStyle="1" w:styleId="HeaderChar">
    <w:name w:val="Header Char"/>
    <w:basedOn w:val="DefaultParagraphFont"/>
    <w:link w:val="Header"/>
    <w:uiPriority w:val="99"/>
    <w:rsid w:val="001D65AD"/>
    <w:rPr>
      <w:rFonts w:ascii="Times New Roman" w:hAnsi="Times New Roman" w:cs="Times New Roman"/>
      <w:sz w:val="24"/>
      <w:lang w:val="en-GB"/>
    </w:rPr>
  </w:style>
  <w:style w:type="paragraph" w:styleId="Footer">
    <w:name w:val="footer"/>
    <w:basedOn w:val="Normal"/>
    <w:link w:val="FooterChar"/>
    <w:uiPriority w:val="99"/>
    <w:unhideWhenUsed/>
    <w:rsid w:val="001D65A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1D65AD"/>
    <w:rPr>
      <w:rFonts w:ascii="Times New Roman" w:hAnsi="Times New Roman" w:cs="Times New Roman"/>
      <w:sz w:val="24"/>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1D65AD"/>
    <w:pPr>
      <w:tabs>
        <w:tab w:val="center" w:pos="7285"/>
        <w:tab w:val="right" w:pos="14003"/>
      </w:tabs>
      <w:spacing w:before="0"/>
    </w:pPr>
  </w:style>
  <w:style w:type="paragraph" w:customStyle="1" w:styleId="FooterLandscape">
    <w:name w:val="FooterLandscape"/>
    <w:basedOn w:val="Normal"/>
    <w:rsid w:val="001D65A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unhideWhenUsed/>
    <w:rsid w:val="001D65AD"/>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9"/>
      </w:numPr>
    </w:pPr>
  </w:style>
  <w:style w:type="paragraph" w:customStyle="1" w:styleId="Tiret1">
    <w:name w:val="Tiret 1"/>
    <w:basedOn w:val="Point1"/>
    <w:rsid w:val="00877878"/>
    <w:pPr>
      <w:numPr>
        <w:numId w:val="20"/>
      </w:numPr>
    </w:pPr>
  </w:style>
  <w:style w:type="paragraph" w:customStyle="1" w:styleId="Tiret2">
    <w:name w:val="Tiret 2"/>
    <w:basedOn w:val="Point2"/>
    <w:rsid w:val="00877878"/>
    <w:pPr>
      <w:numPr>
        <w:numId w:val="21"/>
      </w:numPr>
    </w:pPr>
  </w:style>
  <w:style w:type="paragraph" w:customStyle="1" w:styleId="Tiret3">
    <w:name w:val="Tiret 3"/>
    <w:basedOn w:val="Point3"/>
    <w:rsid w:val="00877878"/>
    <w:pPr>
      <w:numPr>
        <w:numId w:val="22"/>
      </w:numPr>
    </w:pPr>
  </w:style>
  <w:style w:type="paragraph" w:customStyle="1" w:styleId="Tiret4">
    <w:name w:val="Tiret 4"/>
    <w:basedOn w:val="Point4"/>
    <w:rsid w:val="00877878"/>
    <w:pPr>
      <w:numPr>
        <w:numId w:val="23"/>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24"/>
      </w:numPr>
    </w:pPr>
  </w:style>
  <w:style w:type="paragraph" w:customStyle="1" w:styleId="NumPar2">
    <w:name w:val="NumPar 2"/>
    <w:basedOn w:val="Normal"/>
    <w:next w:val="Text1"/>
    <w:rsid w:val="00877878"/>
    <w:pPr>
      <w:numPr>
        <w:ilvl w:val="1"/>
        <w:numId w:val="24"/>
      </w:numPr>
    </w:pPr>
  </w:style>
  <w:style w:type="paragraph" w:customStyle="1" w:styleId="NumPar3">
    <w:name w:val="NumPar 3"/>
    <w:basedOn w:val="Normal"/>
    <w:next w:val="Text1"/>
    <w:rsid w:val="00877878"/>
    <w:pPr>
      <w:numPr>
        <w:ilvl w:val="2"/>
        <w:numId w:val="24"/>
      </w:numPr>
    </w:pPr>
  </w:style>
  <w:style w:type="paragraph" w:customStyle="1" w:styleId="NumPar4">
    <w:name w:val="NumPar 4"/>
    <w:basedOn w:val="Normal"/>
    <w:next w:val="Text1"/>
    <w:rsid w:val="00877878"/>
    <w:pPr>
      <w:numPr>
        <w:ilvl w:val="3"/>
        <w:numId w:val="24"/>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26"/>
      </w:numPr>
    </w:pPr>
  </w:style>
  <w:style w:type="paragraph" w:customStyle="1" w:styleId="Point1number">
    <w:name w:val="Point 1 (number)"/>
    <w:basedOn w:val="Normal"/>
    <w:rsid w:val="00877878"/>
    <w:pPr>
      <w:numPr>
        <w:ilvl w:val="2"/>
        <w:numId w:val="26"/>
      </w:numPr>
    </w:pPr>
  </w:style>
  <w:style w:type="paragraph" w:customStyle="1" w:styleId="Point2number">
    <w:name w:val="Point 2 (number)"/>
    <w:basedOn w:val="Normal"/>
    <w:rsid w:val="00877878"/>
    <w:pPr>
      <w:numPr>
        <w:ilvl w:val="4"/>
        <w:numId w:val="26"/>
      </w:numPr>
    </w:pPr>
  </w:style>
  <w:style w:type="paragraph" w:customStyle="1" w:styleId="Point3number">
    <w:name w:val="Point 3 (number)"/>
    <w:basedOn w:val="Normal"/>
    <w:rsid w:val="00877878"/>
    <w:pPr>
      <w:numPr>
        <w:ilvl w:val="6"/>
        <w:numId w:val="26"/>
      </w:numPr>
    </w:pPr>
  </w:style>
  <w:style w:type="paragraph" w:customStyle="1" w:styleId="Point0letter">
    <w:name w:val="Point 0 (letter)"/>
    <w:basedOn w:val="Normal"/>
    <w:rsid w:val="00877878"/>
    <w:pPr>
      <w:numPr>
        <w:ilvl w:val="1"/>
        <w:numId w:val="26"/>
      </w:numPr>
    </w:pPr>
  </w:style>
  <w:style w:type="paragraph" w:customStyle="1" w:styleId="Point1letter">
    <w:name w:val="Point 1 (letter)"/>
    <w:basedOn w:val="Normal"/>
    <w:rsid w:val="00877878"/>
    <w:pPr>
      <w:numPr>
        <w:ilvl w:val="3"/>
        <w:numId w:val="26"/>
      </w:numPr>
    </w:pPr>
  </w:style>
  <w:style w:type="paragraph" w:customStyle="1" w:styleId="Point2letter">
    <w:name w:val="Point 2 (letter)"/>
    <w:basedOn w:val="Normal"/>
    <w:rsid w:val="00877878"/>
    <w:pPr>
      <w:numPr>
        <w:ilvl w:val="5"/>
        <w:numId w:val="26"/>
      </w:numPr>
    </w:pPr>
  </w:style>
  <w:style w:type="paragraph" w:customStyle="1" w:styleId="Point3letter">
    <w:name w:val="Point 3 (letter)"/>
    <w:basedOn w:val="Normal"/>
    <w:rsid w:val="00877878"/>
    <w:pPr>
      <w:numPr>
        <w:ilvl w:val="7"/>
        <w:numId w:val="26"/>
      </w:numPr>
    </w:pPr>
  </w:style>
  <w:style w:type="paragraph" w:customStyle="1" w:styleId="Point4letter">
    <w:name w:val="Point 4 (letter)"/>
    <w:basedOn w:val="Normal"/>
    <w:rsid w:val="00877878"/>
    <w:pPr>
      <w:numPr>
        <w:ilvl w:val="8"/>
        <w:numId w:val="26"/>
      </w:numPr>
    </w:pPr>
  </w:style>
  <w:style w:type="paragraph" w:customStyle="1" w:styleId="Bullet0">
    <w:name w:val="Bullet 0"/>
    <w:basedOn w:val="Normal"/>
    <w:rsid w:val="00877878"/>
    <w:pPr>
      <w:numPr>
        <w:numId w:val="27"/>
      </w:numPr>
    </w:pPr>
  </w:style>
  <w:style w:type="paragraph" w:customStyle="1" w:styleId="Bullet1">
    <w:name w:val="Bullet 1"/>
    <w:basedOn w:val="Normal"/>
    <w:rsid w:val="00877878"/>
    <w:pPr>
      <w:numPr>
        <w:numId w:val="28"/>
      </w:numPr>
    </w:pPr>
  </w:style>
  <w:style w:type="paragraph" w:customStyle="1" w:styleId="Bullet2">
    <w:name w:val="Bullet 2"/>
    <w:basedOn w:val="Normal"/>
    <w:rsid w:val="00877878"/>
    <w:pPr>
      <w:numPr>
        <w:numId w:val="29"/>
      </w:numPr>
    </w:pPr>
  </w:style>
  <w:style w:type="paragraph" w:customStyle="1" w:styleId="Bullet3">
    <w:name w:val="Bullet 3"/>
    <w:basedOn w:val="Normal"/>
    <w:rsid w:val="00877878"/>
    <w:pPr>
      <w:numPr>
        <w:numId w:val="30"/>
      </w:numPr>
    </w:pPr>
  </w:style>
  <w:style w:type="paragraph" w:customStyle="1" w:styleId="Bullet4">
    <w:name w:val="Bullet 4"/>
    <w:basedOn w:val="Normal"/>
    <w:rsid w:val="00877878"/>
    <w:pPr>
      <w:numPr>
        <w:numId w:val="31"/>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2"/>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 w:type="paragraph" w:styleId="Caption">
    <w:name w:val="caption"/>
    <w:basedOn w:val="Normal"/>
    <w:next w:val="Normal"/>
    <w:uiPriority w:val="35"/>
    <w:semiHidden/>
    <w:unhideWhenUsed/>
    <w:qFormat/>
    <w:rsid w:val="00A856B7"/>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A856B7"/>
    <w:pPr>
      <w:spacing w:after="0"/>
    </w:pPr>
  </w:style>
  <w:style w:type="paragraph" w:styleId="ListBullet">
    <w:name w:val="List Bullet"/>
    <w:basedOn w:val="Normal"/>
    <w:uiPriority w:val="99"/>
    <w:semiHidden/>
    <w:unhideWhenUsed/>
    <w:rsid w:val="00A856B7"/>
    <w:pPr>
      <w:numPr>
        <w:numId w:val="35"/>
      </w:numPr>
      <w:contextualSpacing/>
    </w:pPr>
  </w:style>
  <w:style w:type="paragraph" w:styleId="ListBullet2">
    <w:name w:val="List Bullet 2"/>
    <w:basedOn w:val="Normal"/>
    <w:uiPriority w:val="99"/>
    <w:semiHidden/>
    <w:unhideWhenUsed/>
    <w:rsid w:val="00A856B7"/>
    <w:pPr>
      <w:numPr>
        <w:numId w:val="36"/>
      </w:numPr>
      <w:contextualSpacing/>
    </w:pPr>
  </w:style>
  <w:style w:type="paragraph" w:styleId="ListBullet3">
    <w:name w:val="List Bullet 3"/>
    <w:basedOn w:val="Normal"/>
    <w:uiPriority w:val="99"/>
    <w:semiHidden/>
    <w:unhideWhenUsed/>
    <w:rsid w:val="00A856B7"/>
    <w:pPr>
      <w:numPr>
        <w:numId w:val="37"/>
      </w:numPr>
      <w:contextualSpacing/>
    </w:pPr>
  </w:style>
  <w:style w:type="paragraph" w:styleId="ListBullet4">
    <w:name w:val="List Bullet 4"/>
    <w:basedOn w:val="Normal"/>
    <w:uiPriority w:val="99"/>
    <w:semiHidden/>
    <w:unhideWhenUsed/>
    <w:rsid w:val="00A856B7"/>
    <w:pPr>
      <w:numPr>
        <w:numId w:val="38"/>
      </w:numPr>
      <w:contextualSpacing/>
    </w:pPr>
  </w:style>
  <w:style w:type="paragraph" w:styleId="ListNumber">
    <w:name w:val="List Number"/>
    <w:basedOn w:val="Normal"/>
    <w:uiPriority w:val="99"/>
    <w:semiHidden/>
    <w:unhideWhenUsed/>
    <w:rsid w:val="00A856B7"/>
    <w:pPr>
      <w:numPr>
        <w:numId w:val="39"/>
      </w:numPr>
      <w:contextualSpacing/>
    </w:pPr>
  </w:style>
  <w:style w:type="paragraph" w:styleId="ListNumber2">
    <w:name w:val="List Number 2"/>
    <w:basedOn w:val="Normal"/>
    <w:uiPriority w:val="99"/>
    <w:semiHidden/>
    <w:unhideWhenUsed/>
    <w:rsid w:val="00A856B7"/>
    <w:pPr>
      <w:numPr>
        <w:numId w:val="40"/>
      </w:numPr>
      <w:contextualSpacing/>
    </w:pPr>
  </w:style>
  <w:style w:type="paragraph" w:styleId="ListNumber3">
    <w:name w:val="List Number 3"/>
    <w:basedOn w:val="Normal"/>
    <w:uiPriority w:val="99"/>
    <w:semiHidden/>
    <w:unhideWhenUsed/>
    <w:rsid w:val="00A856B7"/>
    <w:pPr>
      <w:numPr>
        <w:numId w:val="41"/>
      </w:numPr>
      <w:contextualSpacing/>
    </w:pPr>
  </w:style>
  <w:style w:type="paragraph" w:styleId="ListNumber4">
    <w:name w:val="List Number 4"/>
    <w:basedOn w:val="Normal"/>
    <w:uiPriority w:val="99"/>
    <w:semiHidden/>
    <w:unhideWhenUsed/>
    <w:rsid w:val="00A856B7"/>
    <w:pPr>
      <w:numPr>
        <w:numId w:val="42"/>
      </w:numPr>
      <w:contextualSpacing/>
    </w:pPr>
  </w:style>
  <w:style w:type="character" w:styleId="CommentReference">
    <w:name w:val="annotation reference"/>
    <w:basedOn w:val="DefaultParagraphFont"/>
    <w:uiPriority w:val="99"/>
    <w:semiHidden/>
    <w:unhideWhenUsed/>
    <w:rsid w:val="001D65AD"/>
    <w:rPr>
      <w:sz w:val="16"/>
      <w:szCs w:val="16"/>
    </w:rPr>
  </w:style>
  <w:style w:type="paragraph" w:styleId="CommentText">
    <w:name w:val="annotation text"/>
    <w:basedOn w:val="Normal"/>
    <w:link w:val="CommentTextChar"/>
    <w:uiPriority w:val="99"/>
    <w:semiHidden/>
    <w:unhideWhenUsed/>
    <w:rsid w:val="001D65AD"/>
    <w:rPr>
      <w:sz w:val="20"/>
      <w:szCs w:val="20"/>
    </w:rPr>
  </w:style>
  <w:style w:type="character" w:customStyle="1" w:styleId="CommentTextChar">
    <w:name w:val="Comment Text Char"/>
    <w:basedOn w:val="DefaultParagraphFont"/>
    <w:link w:val="CommentText"/>
    <w:uiPriority w:val="99"/>
    <w:semiHidden/>
    <w:rsid w:val="001D65AD"/>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D65AD"/>
    <w:rPr>
      <w:b/>
      <w:bCs/>
    </w:rPr>
  </w:style>
  <w:style w:type="character" w:customStyle="1" w:styleId="CommentSubjectChar">
    <w:name w:val="Comment Subject Char"/>
    <w:basedOn w:val="CommentTextChar"/>
    <w:link w:val="CommentSubject"/>
    <w:uiPriority w:val="99"/>
    <w:semiHidden/>
    <w:rsid w:val="001D65AD"/>
    <w:rPr>
      <w:rFonts w:ascii="Times New Roman" w:hAnsi="Times New Roman" w:cs="Times New Roman"/>
      <w:b/>
      <w:bCs/>
      <w:sz w:val="20"/>
      <w:szCs w:val="20"/>
      <w:lang w:val="en-GB"/>
    </w:rPr>
  </w:style>
  <w:style w:type="character" w:styleId="Hyperlink">
    <w:name w:val="Hyperlink"/>
    <w:basedOn w:val="DefaultParagraphFont"/>
    <w:uiPriority w:val="99"/>
    <w:unhideWhenUsed/>
    <w:rsid w:val="001D65AD"/>
    <w:rPr>
      <w:color w:val="0000FF" w:themeColor="hyperlink"/>
      <w:u w:val="single"/>
    </w:rPr>
  </w:style>
  <w:style w:type="paragraph" w:styleId="BalloonText">
    <w:name w:val="Balloon Text"/>
    <w:basedOn w:val="Normal"/>
    <w:link w:val="BalloonTextChar"/>
    <w:uiPriority w:val="99"/>
    <w:semiHidden/>
    <w:unhideWhenUsed/>
    <w:rsid w:val="001D65A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5A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vpr-fs02\userdata\kwilinska\My%20Document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3</TotalTime>
  <Pages>1</Pages>
  <Words>502</Words>
  <Characters>2661</Characters>
  <Application>Microsoft Office Word</Application>
  <DocSecurity>0</DocSecurity>
  <Lines>59</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Kornelia Wilinska</cp:lastModifiedBy>
  <cp:revision>4</cp:revision>
  <dcterms:created xsi:type="dcterms:W3CDTF">2019-07-11T14:31:00Z</dcterms:created>
  <dcterms:modified xsi:type="dcterms:W3CDTF">2019-07-11T14:35:00Z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 Build 20171009</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Red (DQC version 04)</vt:lpwstr>
  </property>
</Properties>
</file>